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26" w:rsidRDefault="00F83A26">
      <w:r>
        <w:t>Dr Wincenty Kulpa Prof. Prz.</w:t>
      </w:r>
      <w:bookmarkStart w:id="0" w:name="_GoBack"/>
      <w:bookmarkEnd w:id="0"/>
    </w:p>
    <w:p w:rsidR="00F208B6" w:rsidRDefault="001E57AF">
      <w:r w:rsidRPr="001E57AF">
        <w:t>Zestaw zagadnień problemowych Ćwiczenia</w:t>
      </w:r>
      <w:r>
        <w:t xml:space="preserve"> 1</w:t>
      </w:r>
    </w:p>
    <w:p w:rsidR="00F208B6" w:rsidRPr="008F6B9D" w:rsidRDefault="00F208B6" w:rsidP="00F208B6">
      <w:pPr>
        <w:pStyle w:val="Akapitzlist"/>
        <w:numPr>
          <w:ilvl w:val="0"/>
          <w:numId w:val="1"/>
        </w:numPr>
      </w:pPr>
      <w:r w:rsidRPr="008F6B9D">
        <w:t>Podstawowe rodzaje polityki pieniężnej</w:t>
      </w:r>
    </w:p>
    <w:p w:rsidR="00F208B6" w:rsidRPr="008F6B9D" w:rsidRDefault="00F208B6" w:rsidP="00F208B6">
      <w:pPr>
        <w:pStyle w:val="Akapitzlist"/>
        <w:numPr>
          <w:ilvl w:val="0"/>
          <w:numId w:val="1"/>
        </w:numPr>
      </w:pPr>
      <w:r w:rsidRPr="008F6B9D">
        <w:t>Triada celów polityki pieniężnej</w:t>
      </w:r>
    </w:p>
    <w:p w:rsidR="00F208B6" w:rsidRPr="008F6B9D" w:rsidRDefault="00F208B6" w:rsidP="00F208B6">
      <w:pPr>
        <w:pStyle w:val="Akapitzlist"/>
        <w:numPr>
          <w:ilvl w:val="0"/>
          <w:numId w:val="1"/>
        </w:numPr>
      </w:pPr>
      <w:r w:rsidRPr="008F6B9D">
        <w:t>Agregaty pieniężne</w:t>
      </w:r>
    </w:p>
    <w:p w:rsidR="00F208B6" w:rsidRPr="008F6B9D" w:rsidRDefault="00F208B6" w:rsidP="00F208B6">
      <w:pPr>
        <w:pStyle w:val="Akapitzlist"/>
        <w:numPr>
          <w:ilvl w:val="0"/>
          <w:numId w:val="1"/>
        </w:numPr>
      </w:pPr>
      <w:r w:rsidRPr="008F6B9D">
        <w:t>Strategia bezpośredniego celu inflacyjnego</w:t>
      </w:r>
    </w:p>
    <w:p w:rsidR="00F208B6" w:rsidRPr="008F6B9D" w:rsidRDefault="00F208B6" w:rsidP="00F208B6">
      <w:pPr>
        <w:pStyle w:val="Akapitzlist"/>
        <w:numPr>
          <w:ilvl w:val="0"/>
          <w:numId w:val="1"/>
        </w:numPr>
      </w:pPr>
      <w:r w:rsidRPr="008F6B9D">
        <w:t>Stopa rezerwy obowiązkowej w regulowaniu potencjału kredytowego banków</w:t>
      </w:r>
    </w:p>
    <w:p w:rsidR="00F208B6" w:rsidRPr="008F6B9D" w:rsidRDefault="00F208B6" w:rsidP="00F208B6">
      <w:pPr>
        <w:pStyle w:val="Akapitzlist"/>
        <w:numPr>
          <w:ilvl w:val="0"/>
          <w:numId w:val="1"/>
        </w:numPr>
      </w:pPr>
      <w:r w:rsidRPr="008F6B9D">
        <w:t>Polityka otwartego rynku</w:t>
      </w:r>
      <w:r w:rsidR="00B82779" w:rsidRPr="008F6B9D">
        <w:t xml:space="preserve"> banku centralnego</w:t>
      </w:r>
    </w:p>
    <w:p w:rsidR="00F208B6" w:rsidRPr="008F6B9D" w:rsidRDefault="00F208B6" w:rsidP="00F208B6">
      <w:pPr>
        <w:pStyle w:val="Akapitzlist"/>
        <w:numPr>
          <w:ilvl w:val="0"/>
          <w:numId w:val="1"/>
        </w:numPr>
      </w:pPr>
      <w:r w:rsidRPr="008F6B9D">
        <w:t>Kurs walutowy i polityka kursowa</w:t>
      </w:r>
      <w:r w:rsidR="004C64BF" w:rsidRPr="008F6B9D">
        <w:t xml:space="preserve"> banku centralnego</w:t>
      </w:r>
    </w:p>
    <w:p w:rsidR="00F93B92" w:rsidRPr="008F6B9D" w:rsidRDefault="00F93B92" w:rsidP="00F208B6">
      <w:pPr>
        <w:pStyle w:val="Akapitzlist"/>
        <w:numPr>
          <w:ilvl w:val="0"/>
          <w:numId w:val="1"/>
        </w:numPr>
      </w:pPr>
      <w:r w:rsidRPr="008F6B9D">
        <w:t>Charak</w:t>
      </w:r>
      <w:r w:rsidR="004C64BF" w:rsidRPr="008F6B9D">
        <w:t xml:space="preserve">terystyka rynku pieniężnego </w:t>
      </w:r>
    </w:p>
    <w:p w:rsidR="00F93B92" w:rsidRPr="008F6B9D" w:rsidRDefault="00F93B92" w:rsidP="00F208B6">
      <w:pPr>
        <w:pStyle w:val="Akapitzlist"/>
        <w:numPr>
          <w:ilvl w:val="0"/>
          <w:numId w:val="1"/>
        </w:numPr>
      </w:pPr>
      <w:r w:rsidRPr="008F6B9D">
        <w:t>Podstawowe instrumenty rynku pieniężnego</w:t>
      </w:r>
    </w:p>
    <w:p w:rsidR="00F93B92" w:rsidRPr="008F6B9D" w:rsidRDefault="00F93B92" w:rsidP="00F208B6">
      <w:pPr>
        <w:pStyle w:val="Akapitzlist"/>
        <w:numPr>
          <w:ilvl w:val="0"/>
          <w:numId w:val="1"/>
        </w:numPr>
      </w:pPr>
      <w:r w:rsidRPr="008F6B9D">
        <w:t>Podstawowe organy Europejskiego Banku Centralnego</w:t>
      </w:r>
    </w:p>
    <w:p w:rsidR="00F93B92" w:rsidRPr="008F6B9D" w:rsidRDefault="00F93B92" w:rsidP="00F208B6">
      <w:pPr>
        <w:pStyle w:val="Akapitzlist"/>
        <w:numPr>
          <w:ilvl w:val="0"/>
          <w:numId w:val="1"/>
        </w:numPr>
      </w:pPr>
      <w:r w:rsidRPr="008F6B9D">
        <w:t>Niestandardowe instrumenty polityki pieniężnej EBC</w:t>
      </w:r>
    </w:p>
    <w:p w:rsidR="00F93B92" w:rsidRPr="008F6B9D" w:rsidRDefault="00F93B92" w:rsidP="00F208B6">
      <w:pPr>
        <w:pStyle w:val="Akapitzlist"/>
        <w:numPr>
          <w:ilvl w:val="0"/>
          <w:numId w:val="1"/>
        </w:numPr>
      </w:pPr>
      <w:r w:rsidRPr="008F6B9D">
        <w:t>Polityka pieniężna w gospodarce polskiej od momentu transformacji</w:t>
      </w:r>
    </w:p>
    <w:p w:rsidR="00F93B92" w:rsidRPr="008F6B9D" w:rsidRDefault="00F93B92" w:rsidP="00F208B6">
      <w:pPr>
        <w:pStyle w:val="Akapitzlist"/>
        <w:numPr>
          <w:ilvl w:val="0"/>
          <w:numId w:val="1"/>
        </w:numPr>
      </w:pPr>
      <w:r w:rsidRPr="008F6B9D">
        <w:t>Na czym polega strategia bezpośredniego celu inflacyjnego (BCI)</w:t>
      </w:r>
    </w:p>
    <w:p w:rsidR="00F93B92" w:rsidRPr="008F6B9D" w:rsidRDefault="00F93B92" w:rsidP="00F208B6">
      <w:pPr>
        <w:pStyle w:val="Akapitzlist"/>
        <w:numPr>
          <w:ilvl w:val="0"/>
          <w:numId w:val="1"/>
        </w:numPr>
      </w:pPr>
      <w:r w:rsidRPr="008F6B9D">
        <w:t>Instytucje sprawujące nadzór nad działa</w:t>
      </w:r>
      <w:r w:rsidR="004A68B6" w:rsidRPr="008F6B9D">
        <w:t>l</w:t>
      </w:r>
      <w:r w:rsidRPr="008F6B9D">
        <w:t>nością bankową</w:t>
      </w:r>
    </w:p>
    <w:p w:rsidR="004A68B6" w:rsidRPr="008F6B9D" w:rsidRDefault="004A68B6" w:rsidP="00F208B6">
      <w:pPr>
        <w:pStyle w:val="Akapitzlist"/>
        <w:numPr>
          <w:ilvl w:val="0"/>
          <w:numId w:val="1"/>
        </w:numPr>
      </w:pPr>
      <w:r w:rsidRPr="008F6B9D">
        <w:t>Zakres kontroli nad działalnością bankową przez instytucje kontrolne</w:t>
      </w:r>
    </w:p>
    <w:p w:rsidR="004A68B6" w:rsidRPr="008F6B9D" w:rsidRDefault="004A68B6" w:rsidP="00F208B6">
      <w:pPr>
        <w:pStyle w:val="Akapitzlist"/>
        <w:numPr>
          <w:ilvl w:val="0"/>
          <w:numId w:val="1"/>
        </w:numPr>
      </w:pPr>
      <w:r w:rsidRPr="008F6B9D">
        <w:t>Podstawowe normy ostrożnościowe</w:t>
      </w:r>
      <w:r w:rsidR="00CA07A0" w:rsidRPr="008F6B9D">
        <w:t xml:space="preserve"> w systemie bankowym</w:t>
      </w:r>
    </w:p>
    <w:p w:rsidR="004A68B6" w:rsidRPr="008F6B9D" w:rsidRDefault="004A68B6" w:rsidP="00F208B6">
      <w:pPr>
        <w:pStyle w:val="Akapitzlist"/>
        <w:numPr>
          <w:ilvl w:val="0"/>
          <w:numId w:val="1"/>
        </w:numPr>
      </w:pPr>
      <w:r w:rsidRPr="008F6B9D">
        <w:t>Rola Bazylejskiego Komitetu Nadzoru Bankowego w kształtowaniu regulacji ostrożnościowych</w:t>
      </w:r>
    </w:p>
    <w:p w:rsidR="004A68B6" w:rsidRPr="008F6B9D" w:rsidRDefault="004A68B6" w:rsidP="00F208B6">
      <w:pPr>
        <w:pStyle w:val="Akapitzlist"/>
        <w:numPr>
          <w:ilvl w:val="0"/>
          <w:numId w:val="1"/>
        </w:numPr>
      </w:pPr>
      <w:r w:rsidRPr="008F6B9D">
        <w:t>Konstrukcja i znaczenie współczynnika wypłacalności</w:t>
      </w:r>
    </w:p>
    <w:p w:rsidR="004A68B6" w:rsidRPr="008F6B9D" w:rsidRDefault="004A68B6" w:rsidP="00F208B6">
      <w:pPr>
        <w:pStyle w:val="Akapitzlist"/>
        <w:numPr>
          <w:ilvl w:val="0"/>
          <w:numId w:val="1"/>
        </w:numPr>
      </w:pPr>
      <w:r w:rsidRPr="008F6B9D">
        <w:t>Pomiar ryzyka bankowego zgodnie z wytycznymi Bazylei II</w:t>
      </w:r>
    </w:p>
    <w:p w:rsidR="004A68B6" w:rsidRPr="008F6B9D" w:rsidRDefault="004A68B6" w:rsidP="00F208B6">
      <w:pPr>
        <w:pStyle w:val="Akapitzlist"/>
        <w:numPr>
          <w:ilvl w:val="0"/>
          <w:numId w:val="1"/>
        </w:numPr>
      </w:pPr>
      <w:r w:rsidRPr="008F6B9D">
        <w:t>Bufory kapitałowe w zabezpieczeniu wypłacalności banków</w:t>
      </w:r>
    </w:p>
    <w:p w:rsidR="004A68B6" w:rsidRPr="008F6B9D" w:rsidRDefault="00C523CF" w:rsidP="00F208B6">
      <w:pPr>
        <w:pStyle w:val="Akapitzlist"/>
        <w:numPr>
          <w:ilvl w:val="0"/>
          <w:numId w:val="1"/>
        </w:numPr>
      </w:pPr>
      <w:r w:rsidRPr="008F6B9D">
        <w:t>Klasyfikacja pozycji kredytowych wg Polskich Standardów Rachunkowości</w:t>
      </w:r>
    </w:p>
    <w:p w:rsidR="00C523CF" w:rsidRPr="008F6B9D" w:rsidRDefault="00C523CF" w:rsidP="00F208B6">
      <w:pPr>
        <w:pStyle w:val="Akapitzlist"/>
        <w:numPr>
          <w:ilvl w:val="0"/>
          <w:numId w:val="1"/>
        </w:numPr>
      </w:pPr>
      <w:r w:rsidRPr="008F6B9D">
        <w:t>Najważniejsze rekomendacje wydane w Polsce przez organy nadzoru</w:t>
      </w:r>
    </w:p>
    <w:p w:rsidR="00C523CF" w:rsidRPr="008F6B9D" w:rsidRDefault="00C523CF" w:rsidP="00F208B6">
      <w:pPr>
        <w:pStyle w:val="Akapitzlist"/>
        <w:numPr>
          <w:ilvl w:val="0"/>
          <w:numId w:val="1"/>
        </w:numPr>
      </w:pPr>
      <w:r w:rsidRPr="008F6B9D">
        <w:t>System gwarantowania depozytów w Polsce</w:t>
      </w:r>
    </w:p>
    <w:sectPr w:rsidR="00C523CF" w:rsidRPr="008F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D07D7"/>
    <w:multiLevelType w:val="hybridMultilevel"/>
    <w:tmpl w:val="DC926EB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8"/>
    <w:rsid w:val="000C4738"/>
    <w:rsid w:val="001A6E8B"/>
    <w:rsid w:val="001C2298"/>
    <w:rsid w:val="001E57AF"/>
    <w:rsid w:val="00384A35"/>
    <w:rsid w:val="004A098C"/>
    <w:rsid w:val="004A4701"/>
    <w:rsid w:val="004A68B6"/>
    <w:rsid w:val="004C64BF"/>
    <w:rsid w:val="00820FDC"/>
    <w:rsid w:val="00893297"/>
    <w:rsid w:val="008F6B9D"/>
    <w:rsid w:val="009268EF"/>
    <w:rsid w:val="009C64B8"/>
    <w:rsid w:val="00B82779"/>
    <w:rsid w:val="00C523CF"/>
    <w:rsid w:val="00CA07A0"/>
    <w:rsid w:val="00F208B6"/>
    <w:rsid w:val="00F545D9"/>
    <w:rsid w:val="00F83A26"/>
    <w:rsid w:val="00F93B92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D3832-D00A-495D-853F-A91B3B16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Wincenty Kulpa</dc:creator>
  <cp:keywords/>
  <dc:description/>
  <cp:lastModifiedBy>Wincenty Kulpa</cp:lastModifiedBy>
  <cp:revision>5</cp:revision>
  <dcterms:created xsi:type="dcterms:W3CDTF">2020-03-18T09:38:00Z</dcterms:created>
  <dcterms:modified xsi:type="dcterms:W3CDTF">2021-02-27T16:15:00Z</dcterms:modified>
</cp:coreProperties>
</file>