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5E49">
        <w:rPr>
          <w:rFonts w:ascii="Times New Roman" w:hAnsi="Times New Roman" w:cs="Times New Roman"/>
          <w:sz w:val="24"/>
          <w:szCs w:val="24"/>
        </w:rPr>
        <w:t xml:space="preserve">Wnioski (podsumowanie ćwiczenia </w:t>
      </w:r>
      <w:r>
        <w:rPr>
          <w:rFonts w:ascii="Times New Roman" w:hAnsi="Times New Roman" w:cs="Times New Roman"/>
          <w:sz w:val="24"/>
          <w:szCs w:val="24"/>
        </w:rPr>
        <w:t xml:space="preserve">oraz poznanych procesów, metod </w:t>
      </w:r>
      <w:r w:rsidR="00745E49">
        <w:rPr>
          <w:rFonts w:ascii="Times New Roman" w:hAnsi="Times New Roman" w:cs="Times New Roman"/>
          <w:sz w:val="24"/>
          <w:szCs w:val="24"/>
        </w:rPr>
        <w:t>obrazowania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0941" w:rsidRPr="00745E49" w:rsidRDefault="00745E49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Wyniki </w:t>
      </w:r>
      <w:r w:rsidRPr="00745E49">
        <w:rPr>
          <w:rFonts w:ascii="Times New Roman" w:hAnsi="Times New Roman" w:cs="Times New Roman"/>
          <w:sz w:val="24"/>
          <w:szCs w:val="24"/>
        </w:rPr>
        <w:t>badań umieszczone w osobnym folderu WYNIKI (analiza, opis struktur).</w:t>
      </w:r>
    </w:p>
    <w:p w:rsidR="00CA0941" w:rsidRPr="00745E49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49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745E49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 xml:space="preserve">1. Metody obrazowania struktury nanomateriałów. </w:t>
      </w:r>
    </w:p>
    <w:p w:rsidR="00CA0941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2. Zasada pomiaru w mikroskopii AFM.</w:t>
      </w:r>
    </w:p>
    <w:p w:rsidR="00745E49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3</w:t>
      </w:r>
      <w:r w:rsidRPr="00745E49">
        <w:rPr>
          <w:rFonts w:ascii="Times New Roman" w:hAnsi="Times New Roman" w:cs="Times New Roman"/>
          <w:sz w:val="24"/>
          <w:szCs w:val="24"/>
        </w:rPr>
        <w:t xml:space="preserve">. Zasada pomiaru w dyfraktometrii rentgenowskiej (WAXS, SAXS). </w:t>
      </w:r>
    </w:p>
    <w:p w:rsidR="00745E49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4</w:t>
      </w:r>
      <w:r w:rsidRPr="00745E49">
        <w:rPr>
          <w:rFonts w:ascii="Times New Roman" w:hAnsi="Times New Roman" w:cs="Times New Roman"/>
          <w:sz w:val="24"/>
          <w:szCs w:val="24"/>
        </w:rPr>
        <w:t xml:space="preserve">. Zastosowanie metody SAXS do charakterystyki właściwości materiałów polimerowych. </w:t>
      </w:r>
    </w:p>
    <w:p w:rsidR="00745E49" w:rsidRPr="00745E49" w:rsidRDefault="00745E49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5</w:t>
      </w:r>
      <w:r w:rsidRPr="00745E49">
        <w:rPr>
          <w:rFonts w:ascii="Times New Roman" w:hAnsi="Times New Roman" w:cs="Times New Roman"/>
          <w:sz w:val="24"/>
          <w:szCs w:val="24"/>
        </w:rPr>
        <w:t xml:space="preserve">. Zastosowanie metody SAXS i WAXS do charakterystyki glinokrzemianów oraz nanokompozytów z ich dodatkiem. 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E49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1. Instrukcja ćwiczenia.</w:t>
      </w:r>
      <w:bookmarkStart w:id="0" w:name="_GoBack"/>
      <w:bookmarkEnd w:id="0"/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CA0941" w:rsidRPr="00745E49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 xml:space="preserve">3. K. Kurzydłowski, M. Lewandowska „Nanomateriały inżynierskie, konstrukcyjne, funkcjonalne”, </w:t>
      </w:r>
      <w:r w:rsidRPr="00745E49">
        <w:rPr>
          <w:rStyle w:val="acopre"/>
          <w:rFonts w:ascii="Times New Roman" w:hAnsi="Times New Roman" w:cs="Times New Roman"/>
          <w:sz w:val="24"/>
          <w:szCs w:val="24"/>
        </w:rPr>
        <w:t>Wydawnictwo Naukowe PWN., 2011</w:t>
      </w:r>
    </w:p>
    <w:p w:rsidR="000A0E04" w:rsidRPr="00745E49" w:rsidRDefault="000A0E04">
      <w:pPr>
        <w:rPr>
          <w:rFonts w:ascii="Times New Roman" w:hAnsi="Times New Roman" w:cs="Times New Roman"/>
          <w:sz w:val="24"/>
          <w:szCs w:val="24"/>
        </w:rPr>
      </w:pPr>
    </w:p>
    <w:sectPr w:rsidR="000A0E04" w:rsidRPr="0074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745E49"/>
    <w:rsid w:val="00CA0941"/>
    <w:rsid w:val="00EA414E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2020-12-13T13:34:00Z</dcterms:created>
  <dcterms:modified xsi:type="dcterms:W3CDTF">2020-12-13T13:34:00Z</dcterms:modified>
</cp:coreProperties>
</file>